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886" w:rsidRPr="00B92886" w:rsidRDefault="00B92886" w:rsidP="00B92886">
      <w:pPr>
        <w:pStyle w:val="Standard"/>
        <w:jc w:val="both"/>
        <w:rPr>
          <w:rFonts w:cstheme="minorHAnsi"/>
          <w:b/>
          <w:sz w:val="48"/>
          <w:szCs w:val="48"/>
          <w:lang w:val="pl-PL"/>
        </w:rPr>
      </w:pPr>
      <w:r w:rsidRPr="00B92886">
        <w:rPr>
          <w:rFonts w:cstheme="minorHAnsi"/>
          <w:b/>
          <w:sz w:val="48"/>
          <w:szCs w:val="48"/>
          <w:lang w:val="pl-PL"/>
        </w:rPr>
        <w:t xml:space="preserve">Jaraczewo (jedna przestrzeń publiczna) </w:t>
      </w:r>
    </w:p>
    <w:p w:rsidR="00B92886" w:rsidRDefault="00B92886" w:rsidP="00B92886">
      <w:pPr>
        <w:pStyle w:val="Standard"/>
        <w:jc w:val="both"/>
        <w:rPr>
          <w:rFonts w:cstheme="minorHAnsi"/>
          <w:b/>
          <w:sz w:val="22"/>
          <w:szCs w:val="22"/>
          <w:lang w:val="pl-PL"/>
        </w:rPr>
      </w:pPr>
    </w:p>
    <w:p w:rsidR="00B92886" w:rsidRPr="00AD6EBE" w:rsidRDefault="00B92886" w:rsidP="00B92886">
      <w:pPr>
        <w:pStyle w:val="Standard"/>
        <w:jc w:val="both"/>
        <w:rPr>
          <w:rFonts w:cstheme="minorHAnsi"/>
          <w:b/>
          <w:sz w:val="22"/>
          <w:szCs w:val="22"/>
          <w:lang w:val="pl-PL"/>
        </w:rPr>
      </w:pPr>
      <w:r>
        <w:rPr>
          <w:rFonts w:cstheme="minorHAnsi"/>
          <w:b/>
          <w:sz w:val="22"/>
          <w:szCs w:val="22"/>
          <w:lang w:val="pl-PL"/>
        </w:rPr>
        <w:t>ANALIZA:</w:t>
      </w:r>
    </w:p>
    <w:p w:rsidR="00B92886" w:rsidRDefault="00B92886" w:rsidP="00B92886">
      <w:pPr>
        <w:pStyle w:val="Standard"/>
        <w:ind w:firstLine="567"/>
        <w:jc w:val="both"/>
        <w:rPr>
          <w:sz w:val="22"/>
          <w:szCs w:val="22"/>
          <w:lang w:val="pl-PL"/>
        </w:rPr>
      </w:pPr>
      <w:r w:rsidRPr="00AD6EBE">
        <w:rPr>
          <w:rFonts w:cstheme="minorHAnsi"/>
          <w:lang w:val="pl-PL"/>
        </w:rPr>
        <w:t xml:space="preserve"> </w:t>
      </w:r>
      <w:r w:rsidRPr="00AD6EBE">
        <w:rPr>
          <w:sz w:val="22"/>
          <w:szCs w:val="22"/>
          <w:lang w:val="pl-PL"/>
        </w:rPr>
        <w:t xml:space="preserve">to wieś zlokalizowana w centralnej części gminy Szydłowo, </w:t>
      </w:r>
      <w:r>
        <w:rPr>
          <w:sz w:val="22"/>
          <w:szCs w:val="22"/>
          <w:lang w:val="pl-PL"/>
        </w:rPr>
        <w:t>zlokalizowana przy drodze wojewódzkiej 179.</w:t>
      </w:r>
      <w:r w:rsidRPr="00AD6EBE">
        <w:rPr>
          <w:sz w:val="22"/>
          <w:szCs w:val="22"/>
          <w:lang w:val="pl-PL"/>
        </w:rPr>
        <w:t xml:space="preserve"> Układ dróg tworzy kwartały zabudowy mieszkaniowo-gospodarczej.</w:t>
      </w:r>
      <w:r>
        <w:rPr>
          <w:sz w:val="22"/>
          <w:szCs w:val="22"/>
          <w:lang w:val="pl-PL"/>
        </w:rPr>
        <w:t xml:space="preserve"> Miejscowość nie jest rozbudowana, wszystkie drogi o znaczeniu lokalnym są połączone skrzyżowaniem z drogą wojewódzką. </w:t>
      </w:r>
      <w:r w:rsidRPr="00AD6EBE">
        <w:rPr>
          <w:sz w:val="22"/>
          <w:szCs w:val="22"/>
          <w:lang w:val="pl-PL"/>
        </w:rPr>
        <w:t xml:space="preserve"> Zabudowania </w:t>
      </w:r>
      <w:r>
        <w:rPr>
          <w:sz w:val="22"/>
          <w:szCs w:val="22"/>
          <w:lang w:val="pl-PL"/>
        </w:rPr>
        <w:t>mieszkaniowe o charakterze miejskim zajmują część środkową wsi rozchodząc się na zewnątrz miejscowości w kierunku północnym i południowym</w:t>
      </w:r>
      <w:r w:rsidRPr="00AD6EBE">
        <w:rPr>
          <w:sz w:val="22"/>
          <w:szCs w:val="22"/>
          <w:lang w:val="pl-PL"/>
        </w:rPr>
        <w:t xml:space="preserve">. </w:t>
      </w:r>
      <w:r>
        <w:rPr>
          <w:sz w:val="22"/>
          <w:szCs w:val="22"/>
          <w:lang w:val="pl-PL"/>
        </w:rPr>
        <w:t>Aktywność gospodarcza w postaci większych przedsiębiorstw lokalizuje się w zachodniej części. Wieś bogata w zieleń wysoką.</w:t>
      </w:r>
    </w:p>
    <w:p w:rsidR="00B92886" w:rsidRPr="00FC2E52" w:rsidRDefault="00B92886" w:rsidP="00B92886">
      <w:pPr>
        <w:pStyle w:val="Standard"/>
        <w:ind w:firstLine="567"/>
        <w:jc w:val="both"/>
        <w:rPr>
          <w:sz w:val="22"/>
          <w:szCs w:val="22"/>
          <w:lang w:val="pl-PL"/>
        </w:rPr>
      </w:pPr>
      <w:r w:rsidRPr="003D4370">
        <w:rPr>
          <w:sz w:val="22"/>
          <w:szCs w:val="22"/>
          <w:lang w:val="pl-PL"/>
        </w:rPr>
        <w:t xml:space="preserve">Terenem przeznaczonym na cele społeczne jest działka o nr 77/3, zlokalizowana w centrum wsi. Znajduje się tu altana, grill i niewymiarowe boisko do gry w piłkę siatkową. Niezorganizowany parking  znajduje się w strefie wejściowej (samochody w nieuporządkowany sposób parkują na trawniku przedmiotowej przestrzeni. Walorem wspomnianej działki jest starodrzew i staw, który obecnie jest bardzo zarośnięty. Działka o dużym potencjale rekreacyjnym z uwagi na położenie, dobry dojazd, wielkość i kształt, urozmaiconą rzeźbę terenu i obecność zbiornika wodnego. W pobliżu znajduje się świetlica wiejska i plac zabaw dla dzieci. Obecna forma zagospodarowania współgra architektonicznie i funkcjonalnie z otaczającymi formami urbanistycznymi, daje poczucie spójności krajobrazowej, a możliwości przyrodniczo-przestrzenne dają możliwości ciekawej aranżacji architektoniczno-urbanistycznej. Analizowany teren posiada  akcent hierarchicznie ważny w postaci altany, znajdującej się w centralnej część omawianego obszaru. Należy miejsce to wzmacniać poprzez właściwą aranżację i różnorodność zieleni. Widoczne jest tu powiązanie funkcjonalne z salą wiejską i placem zabaw zlokalizowanymi przy wjeździe od strony południowej, także z zabudowaniami sąsiadującymi i zielenią znajdującą się w północnej części terenu. </w:t>
      </w:r>
      <w:proofErr w:type="spellStart"/>
      <w:r w:rsidRPr="003D4370">
        <w:rPr>
          <w:rFonts w:cstheme="minorHAnsi"/>
          <w:sz w:val="22"/>
          <w:szCs w:val="22"/>
        </w:rPr>
        <w:t>Kolorystyka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elewacji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dachów</w:t>
      </w:r>
      <w:proofErr w:type="spellEnd"/>
      <w:r w:rsidRPr="003D4370">
        <w:rPr>
          <w:rFonts w:cstheme="minorHAnsi"/>
          <w:sz w:val="22"/>
          <w:szCs w:val="22"/>
        </w:rPr>
        <w:t xml:space="preserve"> w </w:t>
      </w:r>
      <w:proofErr w:type="spellStart"/>
      <w:r w:rsidRPr="003D4370">
        <w:rPr>
          <w:rFonts w:cstheme="minorHAnsi"/>
          <w:sz w:val="22"/>
          <w:szCs w:val="22"/>
        </w:rPr>
        <w:t>tej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części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neutralna</w:t>
      </w:r>
      <w:proofErr w:type="spellEnd"/>
      <w:r w:rsidRPr="003D4370">
        <w:rPr>
          <w:rFonts w:cstheme="minorHAnsi"/>
          <w:sz w:val="22"/>
          <w:szCs w:val="22"/>
        </w:rPr>
        <w:t xml:space="preserve">, </w:t>
      </w:r>
      <w:proofErr w:type="spellStart"/>
      <w:r w:rsidRPr="003D4370">
        <w:rPr>
          <w:rFonts w:cstheme="minorHAnsi"/>
          <w:sz w:val="22"/>
          <w:szCs w:val="22"/>
        </w:rPr>
        <w:t>niekrzykliwa</w:t>
      </w:r>
      <w:proofErr w:type="spellEnd"/>
      <w:r w:rsidRPr="003D4370">
        <w:rPr>
          <w:rFonts w:cstheme="minorHAnsi"/>
          <w:sz w:val="22"/>
          <w:szCs w:val="22"/>
        </w:rPr>
        <w:t xml:space="preserve">, </w:t>
      </w:r>
      <w:proofErr w:type="spellStart"/>
      <w:r w:rsidRPr="003D4370">
        <w:rPr>
          <w:rFonts w:cstheme="minorHAnsi"/>
          <w:sz w:val="22"/>
          <w:szCs w:val="22"/>
        </w:rPr>
        <w:t>monochromatyczna</w:t>
      </w:r>
      <w:proofErr w:type="spellEnd"/>
      <w:r w:rsidRPr="003D4370">
        <w:rPr>
          <w:rFonts w:cstheme="minorHAnsi"/>
          <w:sz w:val="22"/>
          <w:szCs w:val="22"/>
        </w:rPr>
        <w:t xml:space="preserve">. </w:t>
      </w:r>
      <w:proofErr w:type="spellStart"/>
      <w:r w:rsidRPr="003D4370">
        <w:rPr>
          <w:rFonts w:cstheme="minorHAnsi"/>
          <w:sz w:val="22"/>
          <w:szCs w:val="22"/>
        </w:rPr>
        <w:t>Obszar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charakteryzuje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się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r w:rsidRPr="003D4370">
        <w:rPr>
          <w:sz w:val="22"/>
          <w:szCs w:val="22"/>
          <w:lang w:val="pl-PL"/>
        </w:rPr>
        <w:t>dobrą czytelnością wnętrza (</w:t>
      </w:r>
      <w:proofErr w:type="spellStart"/>
      <w:r w:rsidRPr="003D4370">
        <w:rPr>
          <w:rFonts w:cstheme="minorHAnsi"/>
          <w:sz w:val="22"/>
          <w:szCs w:val="22"/>
        </w:rPr>
        <w:t>linia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zabudowy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uzupełniona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zielenią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oraz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ciągłą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płaszczyzna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ogrodzeń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świadczą</w:t>
      </w:r>
      <w:proofErr w:type="spellEnd"/>
      <w:r w:rsidRPr="003D4370">
        <w:rPr>
          <w:rFonts w:cstheme="minorHAnsi"/>
          <w:sz w:val="22"/>
          <w:szCs w:val="22"/>
        </w:rPr>
        <w:t xml:space="preserve"> o </w:t>
      </w:r>
      <w:proofErr w:type="spellStart"/>
      <w:r w:rsidRPr="003D4370">
        <w:rPr>
          <w:rFonts w:cstheme="minorHAnsi"/>
          <w:sz w:val="22"/>
          <w:szCs w:val="22"/>
        </w:rPr>
        <w:t>dużej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zwartości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wnętrza</w:t>
      </w:r>
      <w:proofErr w:type="spellEnd"/>
      <w:r w:rsidRPr="003D4370">
        <w:rPr>
          <w:rFonts w:cstheme="minorHAnsi"/>
          <w:sz w:val="22"/>
          <w:szCs w:val="22"/>
        </w:rPr>
        <w:t xml:space="preserve">, a </w:t>
      </w:r>
      <w:proofErr w:type="spellStart"/>
      <w:r w:rsidRPr="003D4370">
        <w:rPr>
          <w:rFonts w:cstheme="minorHAnsi"/>
          <w:sz w:val="22"/>
          <w:szCs w:val="22"/>
        </w:rPr>
        <w:t>właściwa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kolorystyka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pionowe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linie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płotów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hamują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wzrok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przez</w:t>
      </w:r>
      <w:proofErr w:type="spellEnd"/>
      <w:r w:rsidRPr="003D4370">
        <w:rPr>
          <w:rFonts w:cstheme="minorHAnsi"/>
          <w:sz w:val="22"/>
          <w:szCs w:val="22"/>
        </w:rPr>
        <w:t xml:space="preserve"> co </w:t>
      </w:r>
      <w:proofErr w:type="spellStart"/>
      <w:r w:rsidRPr="003D4370">
        <w:rPr>
          <w:rFonts w:cstheme="minorHAnsi"/>
          <w:sz w:val="22"/>
          <w:szCs w:val="22"/>
        </w:rPr>
        <w:t>wnętrze</w:t>
      </w:r>
      <w:proofErr w:type="spellEnd"/>
      <w:r w:rsidRPr="003D4370">
        <w:rPr>
          <w:rFonts w:cstheme="minorHAnsi"/>
          <w:sz w:val="22"/>
          <w:szCs w:val="22"/>
        </w:rPr>
        <w:t xml:space="preserve"> jest </w:t>
      </w:r>
      <w:proofErr w:type="spellStart"/>
      <w:r w:rsidRPr="003D4370">
        <w:rPr>
          <w:rFonts w:cstheme="minorHAnsi"/>
          <w:sz w:val="22"/>
          <w:szCs w:val="22"/>
        </w:rPr>
        <w:t>przyjazne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dla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użytkownika</w:t>
      </w:r>
      <w:proofErr w:type="spellEnd"/>
      <w:r w:rsidRPr="003D4370">
        <w:rPr>
          <w:sz w:val="22"/>
          <w:szCs w:val="22"/>
          <w:lang w:val="pl-PL"/>
        </w:rPr>
        <w:t xml:space="preserve">). </w:t>
      </w:r>
      <w:r w:rsidRPr="003D4370">
        <w:rPr>
          <w:rFonts w:cstheme="minorHAnsi"/>
          <w:sz w:val="22"/>
          <w:szCs w:val="22"/>
        </w:rPr>
        <w:t xml:space="preserve">Ta </w:t>
      </w:r>
      <w:proofErr w:type="spellStart"/>
      <w:r w:rsidRPr="003D4370">
        <w:rPr>
          <w:rFonts w:cstheme="minorHAnsi"/>
          <w:sz w:val="22"/>
          <w:szCs w:val="22"/>
        </w:rPr>
        <w:t>zwartość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ogranicza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niestety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orientację</w:t>
      </w:r>
      <w:proofErr w:type="spellEnd"/>
      <w:r w:rsidRPr="003D4370">
        <w:rPr>
          <w:rFonts w:cstheme="minorHAnsi"/>
          <w:sz w:val="22"/>
          <w:szCs w:val="22"/>
        </w:rPr>
        <w:t xml:space="preserve">  </w:t>
      </w:r>
      <w:proofErr w:type="spellStart"/>
      <w:r w:rsidRPr="003D4370">
        <w:rPr>
          <w:rFonts w:cstheme="minorHAnsi"/>
          <w:sz w:val="22"/>
          <w:szCs w:val="22"/>
        </w:rPr>
        <w:t>względem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stron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świata</w:t>
      </w:r>
      <w:proofErr w:type="spellEnd"/>
      <w:r w:rsidRPr="003D4370">
        <w:rPr>
          <w:rFonts w:cstheme="minorHAnsi"/>
          <w:sz w:val="22"/>
          <w:szCs w:val="22"/>
        </w:rPr>
        <w:t xml:space="preserve"> (</w:t>
      </w:r>
      <w:proofErr w:type="spellStart"/>
      <w:r w:rsidRPr="003D4370">
        <w:rPr>
          <w:rFonts w:cstheme="minorHAnsi"/>
          <w:sz w:val="22"/>
          <w:szCs w:val="22"/>
        </w:rPr>
        <w:t>pn-pd</w:t>
      </w:r>
      <w:proofErr w:type="spellEnd"/>
      <w:r w:rsidRPr="003D4370">
        <w:rPr>
          <w:rFonts w:cstheme="minorHAnsi"/>
          <w:sz w:val="22"/>
          <w:szCs w:val="22"/>
        </w:rPr>
        <w:t xml:space="preserve">), </w:t>
      </w:r>
      <w:proofErr w:type="spellStart"/>
      <w:r w:rsidRPr="003D4370">
        <w:rPr>
          <w:rFonts w:cstheme="minorHAnsi"/>
          <w:sz w:val="22"/>
          <w:szCs w:val="22"/>
        </w:rPr>
        <w:t>ponadto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pokrój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drzew</w:t>
      </w:r>
      <w:proofErr w:type="spellEnd"/>
      <w:r w:rsidRPr="003D4370">
        <w:rPr>
          <w:rFonts w:cstheme="minorHAnsi"/>
          <w:sz w:val="22"/>
          <w:szCs w:val="22"/>
        </w:rPr>
        <w:t xml:space="preserve">, </w:t>
      </w:r>
      <w:proofErr w:type="spellStart"/>
      <w:r w:rsidRPr="003D4370">
        <w:rPr>
          <w:rFonts w:cstheme="minorHAnsi"/>
          <w:sz w:val="22"/>
          <w:szCs w:val="22"/>
        </w:rPr>
        <w:t>występowanie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zieleni</w:t>
      </w:r>
      <w:proofErr w:type="spellEnd"/>
      <w:r w:rsidRPr="003D4370">
        <w:rPr>
          <w:rFonts w:cstheme="minorHAnsi"/>
          <w:sz w:val="22"/>
          <w:szCs w:val="22"/>
        </w:rPr>
        <w:t xml:space="preserve"> w </w:t>
      </w:r>
      <w:proofErr w:type="spellStart"/>
      <w:r w:rsidRPr="003D4370">
        <w:rPr>
          <w:rFonts w:cstheme="minorHAnsi"/>
          <w:sz w:val="22"/>
          <w:szCs w:val="22"/>
        </w:rPr>
        <w:t>postaci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krzewów</w:t>
      </w:r>
      <w:proofErr w:type="spellEnd"/>
      <w:r w:rsidRPr="003D4370">
        <w:rPr>
          <w:rFonts w:cstheme="minorHAnsi"/>
          <w:sz w:val="22"/>
          <w:szCs w:val="22"/>
        </w:rPr>
        <w:t xml:space="preserve">, </w:t>
      </w:r>
      <w:proofErr w:type="spellStart"/>
      <w:r w:rsidRPr="003D4370">
        <w:rPr>
          <w:rFonts w:cstheme="minorHAnsi"/>
          <w:sz w:val="22"/>
          <w:szCs w:val="22"/>
        </w:rPr>
        <w:t>gęsty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rytm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drzew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bardzo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zacienia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przestrzeń</w:t>
      </w:r>
      <w:proofErr w:type="spellEnd"/>
      <w:r w:rsidRPr="003D4370">
        <w:rPr>
          <w:rFonts w:cstheme="minorHAnsi"/>
          <w:sz w:val="22"/>
          <w:szCs w:val="22"/>
        </w:rPr>
        <w:t xml:space="preserve">, </w:t>
      </w:r>
      <w:proofErr w:type="spellStart"/>
      <w:r w:rsidRPr="003D4370">
        <w:rPr>
          <w:rFonts w:cstheme="minorHAnsi"/>
          <w:sz w:val="22"/>
          <w:szCs w:val="22"/>
        </w:rPr>
        <w:t>dlatego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teren</w:t>
      </w:r>
      <w:proofErr w:type="spellEnd"/>
      <w:r w:rsidRPr="003D4370">
        <w:rPr>
          <w:rFonts w:cstheme="minorHAnsi"/>
          <w:sz w:val="22"/>
          <w:szCs w:val="22"/>
        </w:rPr>
        <w:t xml:space="preserve"> ten </w:t>
      </w:r>
      <w:proofErr w:type="spellStart"/>
      <w:r w:rsidRPr="003D4370">
        <w:rPr>
          <w:rFonts w:cstheme="minorHAnsi"/>
          <w:sz w:val="22"/>
          <w:szCs w:val="22"/>
        </w:rPr>
        <w:t>nie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należy</w:t>
      </w:r>
      <w:proofErr w:type="spellEnd"/>
      <w:r w:rsidRPr="003D4370">
        <w:rPr>
          <w:rFonts w:cstheme="minorHAnsi"/>
          <w:sz w:val="22"/>
          <w:szCs w:val="22"/>
        </w:rPr>
        <w:t xml:space="preserve"> do </w:t>
      </w:r>
      <w:proofErr w:type="spellStart"/>
      <w:r w:rsidRPr="003D4370">
        <w:rPr>
          <w:rFonts w:cstheme="minorHAnsi"/>
          <w:sz w:val="22"/>
          <w:szCs w:val="22"/>
        </w:rPr>
        <w:t>bardzo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jasnych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i</w:t>
      </w:r>
      <w:proofErr w:type="spellEnd"/>
      <w:r w:rsidRPr="003D4370">
        <w:rPr>
          <w:rFonts w:cstheme="minorHAnsi"/>
          <w:sz w:val="22"/>
          <w:szCs w:val="22"/>
        </w:rPr>
        <w:t xml:space="preserve"> </w:t>
      </w:r>
      <w:proofErr w:type="spellStart"/>
      <w:r w:rsidRPr="003D4370">
        <w:rPr>
          <w:rFonts w:cstheme="minorHAnsi"/>
          <w:sz w:val="22"/>
          <w:szCs w:val="22"/>
        </w:rPr>
        <w:t>wyrazistych</w:t>
      </w:r>
      <w:proofErr w:type="spellEnd"/>
      <w:r w:rsidRPr="003D4370">
        <w:rPr>
          <w:rFonts w:cstheme="minorHAnsi"/>
          <w:sz w:val="22"/>
          <w:szCs w:val="22"/>
        </w:rPr>
        <w:t>.</w:t>
      </w:r>
    </w:p>
    <w:p w:rsidR="00B92886" w:rsidRPr="00AD6EBE" w:rsidRDefault="00B92886" w:rsidP="00B92886">
      <w:pPr>
        <w:pStyle w:val="Standard"/>
        <w:ind w:firstLine="567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B92886" w:rsidRPr="00AD6EBE" w:rsidRDefault="00B92886" w:rsidP="00B92886">
      <w:pPr>
        <w:pStyle w:val="Standard"/>
        <w:ind w:firstLine="567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B92886" w:rsidRDefault="00B92886" w:rsidP="00B92886">
      <w:pPr>
        <w:pStyle w:val="Standard"/>
        <w:jc w:val="center"/>
        <w:rPr>
          <w:sz w:val="22"/>
          <w:szCs w:val="22"/>
        </w:rPr>
      </w:pPr>
      <w:r w:rsidRPr="002534F6">
        <w:rPr>
          <w:noProof/>
          <w:sz w:val="22"/>
          <w:szCs w:val="22"/>
          <w:lang w:val="pl-PL" w:eastAsia="pl-PL" w:bidi="ar-SA"/>
        </w:rPr>
        <w:lastRenderedPageBreak/>
        <w:drawing>
          <wp:inline distT="0" distB="0" distL="0" distR="0" wp14:anchorId="753A094C" wp14:editId="4E839A5A">
            <wp:extent cx="5364005" cy="3792797"/>
            <wp:effectExtent l="19050" t="19050" r="27305" b="17780"/>
            <wp:docPr id="3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Obraz 11" descr="PS20150225-9560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5" cy="37927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92886" w:rsidRDefault="00B92886" w:rsidP="00B92886">
      <w:pPr>
        <w:rPr>
          <w:rFonts w:cstheme="minorHAnsi"/>
          <w:sz w:val="18"/>
          <w:szCs w:val="18"/>
        </w:rPr>
      </w:pPr>
      <w:r>
        <w:rPr>
          <w:rFonts w:cs="Calibri"/>
          <w:sz w:val="18"/>
          <w:szCs w:val="18"/>
        </w:rPr>
        <w:t>Jaraczewo. Lokalizacja wybra</w:t>
      </w:r>
      <w:r w:rsidRPr="008C4074">
        <w:rPr>
          <w:rFonts w:cs="Calibri"/>
          <w:sz w:val="18"/>
          <w:szCs w:val="18"/>
        </w:rPr>
        <w:t xml:space="preserve">nej przestrzeni </w:t>
      </w:r>
      <w:r>
        <w:rPr>
          <w:rFonts w:cs="Calibri"/>
          <w:sz w:val="18"/>
          <w:szCs w:val="18"/>
        </w:rPr>
        <w:t>publicznej</w:t>
      </w:r>
      <w:r w:rsidRPr="008C4074">
        <w:rPr>
          <w:rFonts w:cstheme="minorHAnsi"/>
          <w:sz w:val="18"/>
          <w:szCs w:val="18"/>
        </w:rPr>
        <w:t xml:space="preserve"> (gmina: Szydłowo, obręb: </w:t>
      </w:r>
      <w:r>
        <w:rPr>
          <w:rFonts w:cstheme="minorHAnsi"/>
          <w:sz w:val="18"/>
          <w:szCs w:val="18"/>
        </w:rPr>
        <w:t>JARACZEWO</w:t>
      </w:r>
      <w:r w:rsidRPr="008C4074">
        <w:rPr>
          <w:rFonts w:cstheme="minorHAnsi"/>
          <w:sz w:val="18"/>
          <w:szCs w:val="18"/>
        </w:rPr>
        <w:t xml:space="preserve">; </w:t>
      </w:r>
      <w:proofErr w:type="spellStart"/>
      <w:r w:rsidRPr="008C4074">
        <w:rPr>
          <w:rFonts w:cstheme="minorHAnsi"/>
          <w:sz w:val="18"/>
          <w:szCs w:val="18"/>
        </w:rPr>
        <w:t>ident</w:t>
      </w:r>
      <w:proofErr w:type="spellEnd"/>
      <w:r w:rsidRPr="008C4074">
        <w:rPr>
          <w:rFonts w:cstheme="minorHAnsi"/>
          <w:sz w:val="18"/>
          <w:szCs w:val="18"/>
        </w:rPr>
        <w:t xml:space="preserve">.: </w:t>
      </w:r>
      <w:r>
        <w:rPr>
          <w:rFonts w:ascii="Arial" w:hAnsi="Arial" w:cs="Arial"/>
          <w:color w:val="000000"/>
          <w:sz w:val="17"/>
          <w:szCs w:val="17"/>
          <w:shd w:val="clear" w:color="auto" w:fill="D7DCEB"/>
        </w:rPr>
        <w:t>301906_2.0073.77/3</w:t>
      </w:r>
      <w:r w:rsidRPr="008C4074">
        <w:rPr>
          <w:rFonts w:cstheme="minorHAnsi"/>
          <w:sz w:val="18"/>
          <w:szCs w:val="18"/>
        </w:rPr>
        <w:t>)</w:t>
      </w:r>
    </w:p>
    <w:p w:rsidR="00B92886" w:rsidRDefault="00B92886" w:rsidP="00B92886">
      <w:pPr>
        <w:spacing w:after="0"/>
        <w:rPr>
          <w:rFonts w:cstheme="minorHAnsi"/>
          <w:sz w:val="18"/>
          <w:szCs w:val="18"/>
        </w:rPr>
      </w:pPr>
      <w:proofErr w:type="spellStart"/>
      <w:r>
        <w:rPr>
          <w:rFonts w:cstheme="minorHAnsi"/>
          <w:sz w:val="18"/>
          <w:szCs w:val="18"/>
        </w:rPr>
        <w:t>Żródło</w:t>
      </w:r>
      <w:proofErr w:type="spellEnd"/>
      <w:r>
        <w:rPr>
          <w:rFonts w:cstheme="minorHAnsi"/>
          <w:sz w:val="18"/>
          <w:szCs w:val="18"/>
        </w:rPr>
        <w:t xml:space="preserve">: System Informacji Przestrzennej gminy Szydłowo, podkład </w:t>
      </w:r>
      <w:proofErr w:type="spellStart"/>
      <w:r>
        <w:rPr>
          <w:rFonts w:cstheme="minorHAnsi"/>
          <w:sz w:val="18"/>
          <w:szCs w:val="18"/>
        </w:rPr>
        <w:t>ortofotomapa</w:t>
      </w:r>
      <w:proofErr w:type="spellEnd"/>
      <w:r>
        <w:rPr>
          <w:rFonts w:cstheme="minorHAnsi"/>
          <w:sz w:val="18"/>
          <w:szCs w:val="18"/>
        </w:rPr>
        <w:t xml:space="preserve"> (</w:t>
      </w:r>
      <w:hyperlink r:id="rId5" w:history="1">
        <w:r w:rsidRPr="00191C27">
          <w:rPr>
            <w:rStyle w:val="Hipercze"/>
            <w:rFonts w:cstheme="minorHAnsi"/>
            <w:sz w:val="18"/>
            <w:szCs w:val="18"/>
          </w:rPr>
          <w:t>https://szydlowo.e-mapa.net/</w:t>
        </w:r>
      </w:hyperlink>
      <w:r>
        <w:rPr>
          <w:rFonts w:cstheme="minorHAnsi"/>
          <w:sz w:val="18"/>
          <w:szCs w:val="18"/>
        </w:rPr>
        <w:t>)</w:t>
      </w:r>
    </w:p>
    <w:p w:rsidR="00B92886" w:rsidRPr="008C4074" w:rsidRDefault="00B92886" w:rsidP="00B92886">
      <w:pPr>
        <w:rPr>
          <w:rFonts w:eastAsia="Times New Roman" w:cstheme="minorHAnsi"/>
          <w:color w:val="000000"/>
          <w:sz w:val="18"/>
          <w:szCs w:val="18"/>
          <w:lang w:eastAsia="pl-PL"/>
        </w:rPr>
      </w:pPr>
    </w:p>
    <w:p w:rsidR="00B92886" w:rsidRDefault="00B92886" w:rsidP="00B92886">
      <w:pPr>
        <w:pStyle w:val="Standard"/>
        <w:jc w:val="both"/>
      </w:pPr>
    </w:p>
    <w:p w:rsidR="00B92886" w:rsidRDefault="00B92886" w:rsidP="00B92886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 xml:space="preserve">Tabela. </w:t>
      </w:r>
      <w:r>
        <w:rPr>
          <w:rFonts w:cs="Calibri"/>
        </w:rPr>
        <w:t xml:space="preserve">.. Ocena przestrzeni publicznej w miejscowości Jaraczewo (działka nr 77/3) w oparciu o narządzie dyferencjału semantycznego. Do tabeli wprowadzono końcowe oceny wynikające z badania socjologicznego. </w:t>
      </w:r>
    </w:p>
    <w:p w:rsidR="00B92886" w:rsidRPr="00E94555" w:rsidRDefault="00B92886" w:rsidP="00B92886">
      <w:pPr>
        <w:spacing w:after="0"/>
        <w:jc w:val="both"/>
      </w:pPr>
      <w:r>
        <w:rPr>
          <w:sz w:val="18"/>
          <w:szCs w:val="18"/>
        </w:rPr>
        <w:t>Wartość wyznacznika oceny jakościowej (1 oznacza niską wartość (negatywna wartość) a 5 bardzo wysoką (pozytywna wartość)</w:t>
      </w:r>
    </w:p>
    <w:tbl>
      <w:tblPr>
        <w:tblStyle w:val="Tabela-Siatka"/>
        <w:tblpPr w:leftFromText="141" w:rightFromText="141" w:vertAnchor="text" w:horzAnchor="page" w:tblpX="1496" w:tblpY="141"/>
        <w:tblW w:w="0" w:type="auto"/>
        <w:tblLook w:val="04A0" w:firstRow="1" w:lastRow="0" w:firstColumn="1" w:lastColumn="0" w:noHBand="0" w:noVBand="1"/>
      </w:tblPr>
      <w:tblGrid>
        <w:gridCol w:w="1383"/>
        <w:gridCol w:w="6547"/>
        <w:gridCol w:w="1130"/>
      </w:tblGrid>
      <w:tr w:rsidR="00B92886" w:rsidRPr="00E5787D" w:rsidTr="00EA2C3B">
        <w:trPr>
          <w:trHeight w:val="558"/>
        </w:trPr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Kryteria oceny</w:t>
            </w:r>
          </w:p>
        </w:tc>
        <w:tc>
          <w:tcPr>
            <w:tcW w:w="6547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Wyznaczniki oceny jakościowej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Wartość wyznacznika oceny 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funkcjonalność</w:t>
            </w:r>
          </w:p>
        </w:tc>
        <w:tc>
          <w:tcPr>
            <w:tcW w:w="6547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odpoczynku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schronienia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poruszania się i komunikacji (dostępność komunikacyjna)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aktywności pozadomo</w:t>
            </w:r>
            <w:r>
              <w:rPr>
                <w:sz w:val="18"/>
                <w:szCs w:val="18"/>
              </w:rPr>
              <w:t>wej (place zabaw, ciągi piesze)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występowanie</w:t>
            </w:r>
            <w:r w:rsidRPr="00E5787D">
              <w:rPr>
                <w:sz w:val="18"/>
                <w:szCs w:val="18"/>
              </w:rPr>
              <w:t xml:space="preserve"> miejsc zgromadzeń (ulice i place)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praktyczność</w:t>
            </w:r>
          </w:p>
        </w:tc>
        <w:tc>
          <w:tcPr>
            <w:tcW w:w="6547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warunki (oświetlenie, p</w:t>
            </w:r>
            <w:r>
              <w:rPr>
                <w:sz w:val="18"/>
                <w:szCs w:val="18"/>
              </w:rPr>
              <w:t>rzewietrzanie, nasłonecznienie</w:t>
            </w:r>
            <w:r w:rsidRPr="00E5787D">
              <w:rPr>
                <w:sz w:val="18"/>
                <w:szCs w:val="18"/>
              </w:rPr>
              <w:t>)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wyposażenie w sieć infrastruktury technicznej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terenów zieleni i rekreacji, wypoczynku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usług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prawidłowy</w:t>
            </w:r>
            <w:r>
              <w:rPr>
                <w:sz w:val="18"/>
                <w:szCs w:val="18"/>
              </w:rPr>
              <w:t xml:space="preserve"> (niekolizyjny)</w:t>
            </w:r>
            <w:r w:rsidRPr="00E5787D">
              <w:rPr>
                <w:sz w:val="18"/>
                <w:szCs w:val="18"/>
              </w:rPr>
              <w:t xml:space="preserve"> przebieg dróg i ścieżek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dobry </w:t>
            </w:r>
            <w:r w:rsidRPr="00E5787D">
              <w:rPr>
                <w:sz w:val="18"/>
                <w:szCs w:val="18"/>
              </w:rPr>
              <w:t>dostęp do elementów małej architektury (</w:t>
            </w:r>
            <w:r>
              <w:rPr>
                <w:sz w:val="18"/>
                <w:szCs w:val="18"/>
              </w:rPr>
              <w:t>ławek,</w:t>
            </w:r>
            <w:r w:rsidRPr="00E5787D">
              <w:rPr>
                <w:sz w:val="18"/>
                <w:szCs w:val="18"/>
              </w:rPr>
              <w:t xml:space="preserve"> kubłów na śmieci)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fizyczny układ przestrzenny </w:t>
            </w:r>
            <w:r>
              <w:rPr>
                <w:sz w:val="18"/>
                <w:szCs w:val="18"/>
              </w:rPr>
              <w:t xml:space="preserve">elementów </w:t>
            </w:r>
            <w:r w:rsidRPr="00E5787D">
              <w:rPr>
                <w:sz w:val="18"/>
                <w:szCs w:val="18"/>
              </w:rPr>
              <w:t xml:space="preserve">ułatwiający kontakt społeczny 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ergonomiczność elementów zagospodarowania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poprawne właściwości środowiska (</w:t>
            </w:r>
            <w:r>
              <w:rPr>
                <w:sz w:val="18"/>
                <w:szCs w:val="18"/>
              </w:rPr>
              <w:t xml:space="preserve">brak </w:t>
            </w:r>
            <w:r w:rsidRPr="00E5787D">
              <w:rPr>
                <w:sz w:val="18"/>
                <w:szCs w:val="18"/>
              </w:rPr>
              <w:t>zanieczyszcze</w:t>
            </w:r>
            <w:r>
              <w:rPr>
                <w:sz w:val="18"/>
                <w:szCs w:val="18"/>
              </w:rPr>
              <w:t xml:space="preserve">ń, brak </w:t>
            </w:r>
            <w:r w:rsidRPr="00E5787D">
              <w:rPr>
                <w:sz w:val="18"/>
                <w:szCs w:val="18"/>
              </w:rPr>
              <w:t>hałas</w:t>
            </w:r>
            <w:r>
              <w:rPr>
                <w:sz w:val="18"/>
                <w:szCs w:val="18"/>
              </w:rPr>
              <w:t>u</w:t>
            </w:r>
            <w:r w:rsidRPr="00E5787D">
              <w:rPr>
                <w:sz w:val="18"/>
                <w:szCs w:val="18"/>
              </w:rPr>
              <w:t>)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istnienie</w:t>
            </w:r>
            <w:r w:rsidRPr="00E5787D">
              <w:rPr>
                <w:sz w:val="18"/>
                <w:szCs w:val="18"/>
              </w:rPr>
              <w:t xml:space="preserve"> miejsc do chodzenia, stania i siedzenia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swobodnego poruszania się osób starszych, niepełnosprawnych i dzieci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niezawodność</w:t>
            </w:r>
          </w:p>
        </w:tc>
        <w:tc>
          <w:tcPr>
            <w:tcW w:w="6547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stan techniczny urządzeń, obiektów, elementów zagospodarowania </w:t>
            </w:r>
          </w:p>
        </w:tc>
        <w:tc>
          <w:tcPr>
            <w:tcW w:w="1130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trwałość</w:t>
            </w:r>
          </w:p>
        </w:tc>
        <w:tc>
          <w:tcPr>
            <w:tcW w:w="6547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okres zachowania cech użytkowych prze</w:t>
            </w:r>
            <w:r>
              <w:rPr>
                <w:sz w:val="18"/>
                <w:szCs w:val="18"/>
              </w:rPr>
              <w:t>z</w:t>
            </w:r>
            <w:r w:rsidRPr="00E5787D">
              <w:rPr>
                <w:sz w:val="18"/>
                <w:szCs w:val="18"/>
              </w:rPr>
              <w:t xml:space="preserve"> elementy zagospodarowania przestrzennego</w:t>
            </w:r>
          </w:p>
        </w:tc>
        <w:tc>
          <w:tcPr>
            <w:tcW w:w="1130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bezpieczeństwo</w:t>
            </w:r>
          </w:p>
        </w:tc>
        <w:tc>
          <w:tcPr>
            <w:tcW w:w="6547" w:type="dxa"/>
          </w:tcPr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społecznej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do miejsca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lastRenderedPageBreak/>
              <w:t>poczucie bezpieczeństwa publicznego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istnienie mie</w:t>
            </w:r>
            <w:r>
              <w:rPr>
                <w:sz w:val="18"/>
                <w:szCs w:val="18"/>
              </w:rPr>
              <w:t xml:space="preserve">jsc, które gromadzą, integrują, </w:t>
            </w:r>
            <w:r w:rsidRPr="00E5787D">
              <w:rPr>
                <w:sz w:val="18"/>
                <w:szCs w:val="18"/>
              </w:rPr>
              <w:t>zapraszają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  <w:p w:rsidR="00B92886" w:rsidRPr="00E5787D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lastRenderedPageBreak/>
              <w:t>czytelność</w:t>
            </w:r>
          </w:p>
        </w:tc>
        <w:tc>
          <w:tcPr>
            <w:tcW w:w="6547" w:type="dxa"/>
          </w:tcPr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łatwość orientacji w terenie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jedność kompozycji przestrzennej i jej wewnętrzna zgodność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istnienie systemu symboli i zrozumiałych znaków informacyjnych (</w:t>
            </w:r>
            <w:r>
              <w:rPr>
                <w:sz w:val="18"/>
                <w:szCs w:val="18"/>
              </w:rPr>
              <w:t xml:space="preserve">tablice </w:t>
            </w:r>
            <w:proofErr w:type="spellStart"/>
            <w:r>
              <w:rPr>
                <w:sz w:val="18"/>
                <w:szCs w:val="18"/>
              </w:rPr>
              <w:t>inform</w:t>
            </w:r>
            <w:proofErr w:type="spellEnd"/>
            <w:r>
              <w:rPr>
                <w:sz w:val="18"/>
                <w:szCs w:val="18"/>
              </w:rPr>
              <w:t>.),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estetyczność</w:t>
            </w:r>
          </w:p>
        </w:tc>
        <w:tc>
          <w:tcPr>
            <w:tcW w:w="6547" w:type="dxa"/>
          </w:tcPr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odpowiednia skala architektoniczna (ludzka)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umiarkowana i łagodna kolorystyka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czystość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właściwe proporcje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zachowanie rytmu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B92886" w:rsidRPr="00E5787D" w:rsidTr="00EA2C3B">
        <w:tc>
          <w:tcPr>
            <w:tcW w:w="1383" w:type="dxa"/>
            <w:vAlign w:val="center"/>
          </w:tcPr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wrażeniowość</w:t>
            </w:r>
          </w:p>
        </w:tc>
        <w:tc>
          <w:tcPr>
            <w:tcW w:w="6547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odczucia i emocje związane z pobytem w przestrzeni</w:t>
            </w:r>
          </w:p>
          <w:p w:rsidR="00B92886" w:rsidRPr="00B9764B" w:rsidRDefault="00B92886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wrażenia wynikające z użytkowania dóbr zlokalizowanych w przestrzeni</w:t>
            </w:r>
          </w:p>
        </w:tc>
        <w:tc>
          <w:tcPr>
            <w:tcW w:w="1130" w:type="dxa"/>
          </w:tcPr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B92886" w:rsidRDefault="00B92886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B92886" w:rsidRDefault="00B92886" w:rsidP="00B92886">
      <w:pPr>
        <w:spacing w:after="0" w:line="240" w:lineRule="auto"/>
        <w:rPr>
          <w:rFonts w:cs="Calibri"/>
          <w:b/>
        </w:rPr>
      </w:pPr>
    </w:p>
    <w:p w:rsidR="00B92886" w:rsidRDefault="00B92886" w:rsidP="00B92886">
      <w:pPr>
        <w:spacing w:after="0" w:line="240" w:lineRule="auto"/>
        <w:rPr>
          <w:rFonts w:cs="Calibri"/>
          <w:b/>
        </w:rPr>
      </w:pPr>
    </w:p>
    <w:p w:rsidR="00B92886" w:rsidRPr="009C0017" w:rsidRDefault="00B92886" w:rsidP="00B92886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>Ocena jakościowa</w:t>
      </w:r>
      <w:r>
        <w:rPr>
          <w:rFonts w:cs="Calibri"/>
        </w:rPr>
        <w:t xml:space="preserve"> przedmiotowej</w:t>
      </w:r>
      <w:r w:rsidRPr="00E94555">
        <w:rPr>
          <w:rFonts w:cs="Calibri"/>
        </w:rPr>
        <w:t xml:space="preserve"> przestrzeni</w:t>
      </w:r>
      <w:r>
        <w:rPr>
          <w:rFonts w:cs="Calibri"/>
        </w:rPr>
        <w:t xml:space="preserve"> za pomocą dyferencjału semantycznego wykazała konieczność poprawy funkcjonalności terenu w kontekście poruszania się po nim, bezpieczeństwa i dostępności miejsc znajdujących się w głębi przedmiotowej nieruchomości. Brak możliwości porusz</w:t>
      </w:r>
      <w:r w:rsidRPr="009C0017">
        <w:rPr>
          <w:rFonts w:cs="Calibri"/>
        </w:rPr>
        <w:t>ania się osób niepełnosprawnych stwarza ograniczenia w sferze praktycznej. Brak spójności elementów zagospodarowania, ich niewielka liczba i przypadkowość rozmieszczenia sprawia wrażenie braku spójności i pomysłu na aranżacje tej przestrzeni. Jest to niewątpliwie przestrzeń o czytelnych granicach, wnętrze bardzo dobrze czytelne o pozytywnych odczuciach. To jakby oddalone od codzienności miejsce, spokojne i umożliwiające kontakt z przyrodą.</w:t>
      </w:r>
    </w:p>
    <w:p w:rsidR="00B92886" w:rsidRDefault="00B92886" w:rsidP="00B92886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B92886" w:rsidRDefault="00B92886" w:rsidP="00B92886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B92886" w:rsidRDefault="00B92886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br w:type="page"/>
      </w:r>
    </w:p>
    <w:p w:rsidR="00B92886" w:rsidRDefault="00B92886" w:rsidP="00B92886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PROJEKTY:</w:t>
      </w:r>
      <w:bookmarkStart w:id="0" w:name="_GoBack"/>
      <w:bookmarkEnd w:id="0"/>
    </w:p>
    <w:p w:rsidR="00B92886" w:rsidRPr="00CA0E8C" w:rsidRDefault="00B92886" w:rsidP="00B92886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Jaraczewo</w:t>
      </w:r>
      <w:r w:rsidRPr="00CA0E8C">
        <w:rPr>
          <w:rFonts w:cs="Calibri"/>
          <w:b/>
          <w:sz w:val="24"/>
          <w:szCs w:val="24"/>
        </w:rPr>
        <w:t>_</w:t>
      </w:r>
      <w:r w:rsidRPr="00CA0E8C">
        <w:rPr>
          <w:b/>
          <w:sz w:val="24"/>
          <w:szCs w:val="24"/>
        </w:rPr>
        <w:t xml:space="preserve"> Gmina </w:t>
      </w:r>
      <w:r>
        <w:rPr>
          <w:b/>
          <w:sz w:val="24"/>
          <w:szCs w:val="24"/>
        </w:rPr>
        <w:t>Szydłowo,</w:t>
      </w:r>
      <w:r w:rsidRPr="00CA0E8C">
        <w:rPr>
          <w:b/>
          <w:sz w:val="24"/>
          <w:szCs w:val="24"/>
        </w:rPr>
        <w:t xml:space="preserve"> Obręb </w:t>
      </w:r>
      <w:r>
        <w:rPr>
          <w:b/>
          <w:sz w:val="24"/>
          <w:szCs w:val="24"/>
        </w:rPr>
        <w:t>JARACZEWO,</w:t>
      </w:r>
      <w:r w:rsidRPr="00CA0E8C">
        <w:rPr>
          <w:b/>
          <w:sz w:val="24"/>
          <w:szCs w:val="24"/>
        </w:rPr>
        <w:t xml:space="preserve"> Numer działki </w:t>
      </w:r>
      <w:r>
        <w:rPr>
          <w:b/>
          <w:sz w:val="24"/>
          <w:szCs w:val="24"/>
        </w:rPr>
        <w:t>77/3</w:t>
      </w:r>
    </w:p>
    <w:p w:rsidR="00B92886" w:rsidRDefault="00B92886" w:rsidP="00B92886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pl-PL"/>
        </w:rPr>
        <w:drawing>
          <wp:inline distT="0" distB="0" distL="0" distR="0" wp14:anchorId="70A31666" wp14:editId="3B9F40F7">
            <wp:extent cx="5759450" cy="3839633"/>
            <wp:effectExtent l="19050" t="19050" r="12700" b="27940"/>
            <wp:docPr id="7173" name="Obraz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S-202009230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886" w:rsidRPr="00A71877" w:rsidRDefault="00B92886" w:rsidP="00B92886">
      <w:pPr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 xml:space="preserve"> </w:t>
      </w:r>
      <w:proofErr w:type="spellStart"/>
      <w:r>
        <w:rPr>
          <w:rFonts w:cs="Calibri"/>
        </w:rPr>
        <w:t>Jaraczewo_s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istniejący</w:t>
      </w:r>
      <w:r>
        <w:rPr>
          <w:rFonts w:cs="Calibri"/>
        </w:rPr>
        <w:t>: widok od strony południowo-zachodniej. Przestrzeń wiejska na której znajduje się wiata, obok grill, w oddali boisko do siatkówki. Wiata jest zadaszona z ławami. Sąsiaduje ona ze zbiornikiem wodnym, który jest obecnie bardzo zarośnięty. Wymaga on rekultywacji. Licznie występujące drzewa tworzą mikroklimat a starodrzew sprawia, że miejsce to jest wyjątkowe, zaciszne i odosobnione. Brak jest wydzielonego parkingu, samochody często stoją na trawniku. Teren przylega do drogi dojazdowej, nieutwardzonej (mieszkaniowej). Wokół wiaty czysto, zieleń zadbana, sprawne oświetlenie. Miejsce przeznaczone na spotkania społeczne indywidualne i grupowe (podczas festynów, lokalnych wiejskich imprez).</w:t>
      </w:r>
    </w:p>
    <w:p w:rsidR="00B92886" w:rsidRDefault="00B92886" w:rsidP="00B92886">
      <w:pPr>
        <w:spacing w:after="0" w:line="240" w:lineRule="auto"/>
        <w:jc w:val="both"/>
        <w:rPr>
          <w:rFonts w:cs="Calibri"/>
          <w:b/>
        </w:rPr>
      </w:pPr>
    </w:p>
    <w:p w:rsidR="00B92886" w:rsidRDefault="00B92886" w:rsidP="00B92886">
      <w:pPr>
        <w:spacing w:after="0" w:line="240" w:lineRule="auto"/>
        <w:jc w:val="both"/>
        <w:rPr>
          <w:rFonts w:cs="Calibri"/>
          <w:b/>
        </w:rPr>
      </w:pPr>
      <w:r w:rsidRPr="001140F4">
        <w:rPr>
          <w:rFonts w:cs="Calibri"/>
          <w:b/>
          <w:noProof/>
          <w:lang w:eastAsia="pl-PL"/>
        </w:rPr>
        <w:lastRenderedPageBreak/>
        <w:drawing>
          <wp:inline distT="0" distB="0" distL="0" distR="0" wp14:anchorId="678C0B96" wp14:editId="02A55AC1">
            <wp:extent cx="5641294" cy="3173228"/>
            <wp:effectExtent l="19050" t="19050" r="17145" b="27305"/>
            <wp:docPr id="10251" name="Obraz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1B7AE95-CDFA-4CCE-B41F-2B562DB24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Obraz 11" descr="PS20150225-9560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1B7AE95-CDFA-4CCE-B41F-2B562DB24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94" cy="31732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92886" w:rsidRDefault="00B92886" w:rsidP="00B92886">
      <w:pPr>
        <w:spacing w:after="0" w:line="240" w:lineRule="auto"/>
        <w:jc w:val="both"/>
        <w:rPr>
          <w:rFonts w:cs="Calibri"/>
          <w:b/>
        </w:rPr>
      </w:pPr>
      <w:proofErr w:type="spellStart"/>
      <w:r>
        <w:rPr>
          <w:rFonts w:cs="Calibri"/>
        </w:rPr>
        <w:t>Jaraczewo_s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>projektowany: widok od strony północno-zachodniej, na pierwszym planie wiata wraz z dojściem od drogi, widoczny parking na 6-8 miejsc i parking dla rowerów. Przedłużeniem wiaty jest taras „wchodzący” delikatnie w staw. Widoczne wejście w kierunku wiaty jest jednocześnie trasą spacerową wokół stawu, gdzie rozstawiono ławki (zwrócone w kierunku zbiornika). W dali widoczne boisko i sąsiadujące zabudowania.</w:t>
      </w:r>
    </w:p>
    <w:p w:rsidR="00B92886" w:rsidRDefault="00B92886" w:rsidP="00B92886">
      <w:pPr>
        <w:spacing w:after="0" w:line="240" w:lineRule="auto"/>
        <w:jc w:val="both"/>
        <w:rPr>
          <w:rFonts w:cs="Calibri"/>
          <w:b/>
        </w:rPr>
      </w:pPr>
    </w:p>
    <w:p w:rsidR="00B92886" w:rsidRDefault="00B92886" w:rsidP="00B92886">
      <w:pPr>
        <w:spacing w:after="0" w:line="240" w:lineRule="auto"/>
        <w:jc w:val="both"/>
        <w:rPr>
          <w:rFonts w:cs="Calibri"/>
          <w:b/>
        </w:rPr>
      </w:pPr>
      <w:r w:rsidRPr="001140F4">
        <w:rPr>
          <w:rFonts w:cs="Calibri"/>
          <w:b/>
          <w:noProof/>
          <w:lang w:eastAsia="pl-PL"/>
        </w:rPr>
        <w:drawing>
          <wp:inline distT="0" distB="0" distL="0" distR="0" wp14:anchorId="1C9748C0" wp14:editId="72CEAECA">
            <wp:extent cx="5641294" cy="3173228"/>
            <wp:effectExtent l="19050" t="19050" r="17145" b="27305"/>
            <wp:docPr id="7174" name="Obraz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1B7AE95-CDFA-4CCE-B41F-2B562DB24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Obraz 11" descr="PS20150225-9560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1B7AE95-CDFA-4CCE-B41F-2B562DB24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94" cy="31732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92886" w:rsidRPr="00A71877" w:rsidRDefault="00B92886" w:rsidP="00B92886">
      <w:pPr>
        <w:spacing w:after="0" w:line="240" w:lineRule="auto"/>
        <w:jc w:val="both"/>
        <w:rPr>
          <w:rFonts w:cs="Calibri"/>
        </w:rPr>
      </w:pPr>
      <w:proofErr w:type="spellStart"/>
      <w:r>
        <w:rPr>
          <w:rFonts w:cs="Calibri"/>
        </w:rPr>
        <w:t>Jaraczewo_s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 xml:space="preserve">projektowany: widok od strony południowo-zachodniej. Centralną część stanowi wiata wraz z tarasem wchodzącym w staw. Wokół zbiornika wodnego trasa spacerowa, którą można przedłużyć i objąć zasięgiem historyczny cmentarz. Południowo-wschodnią część zajmuje wielofunkcyjne boisko, które może być także wykorzystywane podczas lokalnych imprez. Wtedy należy się zastanowić nad sytuowaniem ławek. Na koszach do gry w koszykówkę można zamontować tymczasowy ekran i zorganizować kino plenerowe, a pod wiatą zorganizować punkt gastronomiczny. Gęsta zieleń wyłącznie w otoczeniu stawu, natomiast w pozostałej części pojedyncze zadrzewienia. Woda opadowa z dachów pobliskich zabudowań może zasilać staw (konieczna jest wtedy </w:t>
      </w:r>
      <w:r>
        <w:rPr>
          <w:rFonts w:cs="Calibri"/>
        </w:rPr>
        <w:lastRenderedPageBreak/>
        <w:t xml:space="preserve">infrastruktura temu służąca). Trawnik bez zdobień kwietnych i krzewów umożliwia zorganizowanie imprez: „Koncert klasyczny na trawie” (np. Harfa traw z Małgorzatą Zalewską), „ „Gminne warsztaty plastyczne dla dzieci”, „Joga na trawie”, „Festiwal traw i kwiatów jesieni”, „Hokej na trawie” itp. Rekomenduje się sadzenie roślinności rodzimej, krajowej. </w:t>
      </w:r>
    </w:p>
    <w:p w:rsidR="00BA2ABA" w:rsidRDefault="00BA2ABA"/>
    <w:sectPr w:rsidR="00BA2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886"/>
    <w:rsid w:val="009A1B70"/>
    <w:rsid w:val="00B92886"/>
    <w:rsid w:val="00BA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CAF12-9515-4C23-9B98-2DCBC9ED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28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B9288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B92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92886"/>
    <w:rPr>
      <w:color w:val="0563C1" w:themeColor="hyperlink"/>
      <w:u w:val="single"/>
    </w:rPr>
  </w:style>
  <w:style w:type="paragraph" w:customStyle="1" w:styleId="Standard">
    <w:name w:val="Standard"/>
    <w:rsid w:val="00B9288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szydlowo.e-mapa.net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1136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</dc:creator>
  <cp:keywords/>
  <dc:description/>
  <cp:lastModifiedBy>P S</cp:lastModifiedBy>
  <cp:revision>1</cp:revision>
  <dcterms:created xsi:type="dcterms:W3CDTF">2021-10-29T09:35:00Z</dcterms:created>
  <dcterms:modified xsi:type="dcterms:W3CDTF">2021-10-29T10:01:00Z</dcterms:modified>
</cp:coreProperties>
</file>